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1734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ind w:left="0" w:right="0"/>
        <w:jc w:val="center"/>
        <w:rPr>
          <w:sz w:val="22"/>
          <w:szCs w:val="22"/>
        </w:rPr>
      </w:pPr>
      <w:r>
        <w:rPr>
          <w:rFonts w:hint="eastAsia" w:asciiTheme="minorEastAsia" w:hAnsiTheme="minorEastAsia" w:eastAsiaTheme="minorEastAsia" w:cstheme="minorEastAsia"/>
          <w:b/>
          <w:bCs/>
          <w:sz w:val="28"/>
          <w:szCs w:val="28"/>
        </w:rPr>
        <w:t>深圳市东方富海投资管理股份有限公司博士后科研工作站招聘启事</w:t>
      </w:r>
    </w:p>
    <w:p w14:paraId="1EFE13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ind w:left="0" w:right="0"/>
      </w:pPr>
      <w:r>
        <w:rPr>
          <w:sz w:val="22"/>
          <w:szCs w:val="22"/>
        </w:rPr>
        <w:t>深圳市东方富海投资管理股份有限公司博士后创新实践基地于2021年经深圳市人力资源和社会保障局批准成立，并与著名高校博士后科研流动站合作招收博士后。2024年5月，经广东省人力资源和社会保障厅核准，获批广东省博士后科研工作站（简称“工作站”）。</w:t>
      </w:r>
    </w:p>
    <w:p w14:paraId="410914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ind w:left="0" w:right="0"/>
      </w:pPr>
      <w:r>
        <w:rPr>
          <w:sz w:val="22"/>
          <w:szCs w:val="22"/>
        </w:rPr>
        <w:t>工作站以中国创业投资行业发展过程中面临的重大现实问题为主要研究对象，注重课题研究与公司实务的密切结合，秉承研究发现价值、研究引领投资的理念，致力于培养中国创业投资行业的高级专业人才。工作站聘请著名学者及业内资深人士担任指导专家，充分发挥公司在投资案例丰富、资深投资人众多等方面的优势，为博士后开展课题研究以及成果推广应用提供良好的科研条件。</w:t>
      </w:r>
    </w:p>
    <w:p w14:paraId="732B55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2"/>
          <w:szCs w:val="22"/>
        </w:rPr>
        <w:t>工作站现面向海内外招收博士后研究人员，有关事项公告如下：</w:t>
      </w:r>
    </w:p>
    <w:p w14:paraId="0E071E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4DB24B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rPr>
        <w:t>一、招收条件</w:t>
      </w:r>
    </w:p>
    <w:p w14:paraId="31F432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2"/>
          <w:szCs w:val="22"/>
        </w:rPr>
        <w:t>1、遵纪守法，品学兼优，身体健康，原则上不超过35周岁。</w:t>
      </w:r>
    </w:p>
    <w:p w14:paraId="5A07E0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2"/>
          <w:szCs w:val="22"/>
        </w:rPr>
        <w:t>2、最近三年在国内外获得博士学位或将于2025年毕业的博士研究生。</w:t>
      </w:r>
    </w:p>
    <w:p w14:paraId="26C589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2"/>
          <w:szCs w:val="22"/>
        </w:rPr>
        <w:t>3、可全职从事博士后研究工作。</w:t>
      </w:r>
    </w:p>
    <w:p w14:paraId="3D31A3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2"/>
          <w:szCs w:val="22"/>
        </w:rPr>
        <w:t>4、具有与研究选题相同或相近的专业背景，对投资领域有浓厚兴趣。</w:t>
      </w:r>
    </w:p>
    <w:p w14:paraId="4E7FB8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589F66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rPr>
        <w:t>二、研究选题</w:t>
      </w:r>
    </w:p>
    <w:p w14:paraId="0F7CB7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rStyle w:val="6"/>
          <w:sz w:val="22"/>
          <w:szCs w:val="22"/>
        </w:rPr>
        <w:t>1、信息科技行业发展趋势与投资策略研究（1人）</w:t>
      </w:r>
    </w:p>
    <w:p w14:paraId="162A1E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ind w:left="0" w:right="0"/>
        <w:rPr>
          <w:sz w:val="21"/>
          <w:szCs w:val="21"/>
        </w:rPr>
      </w:pPr>
      <w:r>
        <w:rPr>
          <w:sz w:val="22"/>
          <w:szCs w:val="22"/>
        </w:rPr>
        <w:t>研究方向：人工智能、大数据、云计算、光通信等</w:t>
      </w:r>
    </w:p>
    <w:p w14:paraId="25DD33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rStyle w:val="6"/>
          <w:sz w:val="22"/>
          <w:szCs w:val="22"/>
        </w:rPr>
        <w:t>2、新能源/新材料/高端制造行业发展趋势与投资策略研究（1人）</w:t>
      </w:r>
    </w:p>
    <w:p w14:paraId="7C7B9706">
      <w:pPr>
        <w:keepNext w:val="0"/>
        <w:keepLines w:val="0"/>
        <w:widowControl/>
        <w:suppressLineNumbers w:val="0"/>
        <w:jc w:val="left"/>
      </w:pPr>
      <w:r>
        <w:rPr>
          <w:rFonts w:ascii="宋体" w:hAnsi="宋体" w:eastAsia="宋体" w:cs="宋体"/>
          <w:kern w:val="0"/>
          <w:sz w:val="22"/>
          <w:szCs w:val="22"/>
          <w:lang w:val="en-US" w:eastAsia="zh-CN" w:bidi="ar"/>
        </w:rPr>
        <w:t>研究方向：机器人、半导体、电子工程、前沿新材料、绿色技术等</w:t>
      </w:r>
    </w:p>
    <w:p w14:paraId="4550FF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firstLine="0"/>
        <w:jc w:val="both"/>
      </w:pPr>
      <w:r>
        <w:rPr>
          <w:rStyle w:val="6"/>
          <w:sz w:val="22"/>
          <w:szCs w:val="22"/>
        </w:rPr>
        <w:t>3、生物技术与健康行业发展趋势与投资策略研究（</w:t>
      </w:r>
      <w:r>
        <w:rPr>
          <w:rStyle w:val="6"/>
          <w:rFonts w:hint="eastAsia"/>
          <w:sz w:val="22"/>
          <w:szCs w:val="22"/>
          <w:lang w:val="en-US" w:eastAsia="zh-CN"/>
        </w:rPr>
        <w:t>1</w:t>
      </w:r>
      <w:r>
        <w:rPr>
          <w:rStyle w:val="6"/>
          <w:sz w:val="22"/>
          <w:szCs w:val="22"/>
        </w:rPr>
        <w:t>人）</w:t>
      </w:r>
    </w:p>
    <w:p w14:paraId="35254C03">
      <w:pPr>
        <w:keepNext w:val="0"/>
        <w:keepLines w:val="0"/>
        <w:widowControl/>
        <w:suppressLineNumbers w:val="0"/>
        <w:jc w:val="left"/>
      </w:pPr>
      <w:r>
        <w:rPr>
          <w:rFonts w:ascii="宋体" w:hAnsi="宋体" w:eastAsia="宋体" w:cs="宋体"/>
          <w:kern w:val="0"/>
          <w:sz w:val="22"/>
          <w:szCs w:val="22"/>
          <w:lang w:val="en-US" w:eastAsia="zh-CN" w:bidi="ar"/>
        </w:rPr>
        <w:t>研究方向：分子生物学、核酸、基因编辑等</w:t>
      </w:r>
    </w:p>
    <w:p w14:paraId="17F419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sz w:val="24"/>
          <w:szCs w:val="24"/>
        </w:rPr>
      </w:pPr>
    </w:p>
    <w:p w14:paraId="30A9C2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sz w:val="24"/>
          <w:szCs w:val="24"/>
        </w:rPr>
      </w:pPr>
    </w:p>
    <w:p w14:paraId="0138E6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rStyle w:val="6"/>
          <w:sz w:val="24"/>
          <w:szCs w:val="24"/>
        </w:rPr>
        <w:t>三、待遇</w:t>
      </w:r>
    </w:p>
    <w:p w14:paraId="21E82D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2"/>
          <w:szCs w:val="22"/>
        </w:rPr>
        <w:t>按现行政策，博士后在站期间可享受每人每年不超过18万元的在站生活补助；对于全球排名前200的国（境）外高校博士毕业生来深从事博士后工作的，给予每人每年30万元在站生活补助。出站后，留深工作者可</w:t>
      </w:r>
      <w:r>
        <w:rPr>
          <w:sz w:val="22"/>
          <w:szCs w:val="22"/>
        </w:rPr>
        <w:t>享受36万元生活补助（上</w:t>
      </w:r>
      <w:r>
        <w:rPr>
          <w:sz w:val="22"/>
          <w:szCs w:val="22"/>
        </w:rPr>
        <w:t>述政策以深圳市人社局相关规定为准）。在此基础上，我司还将提供具有市场竞争力的薪酬及福利待遇。</w:t>
      </w:r>
    </w:p>
    <w:p w14:paraId="2A317C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4F1403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rPr>
        <w:t>四、报名要求</w:t>
      </w:r>
    </w:p>
    <w:p w14:paraId="5B9483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sz w:val="22"/>
          <w:szCs w:val="22"/>
        </w:rPr>
        <w:t>1、申请人需向我司提交以下电子版申请材料：</w:t>
      </w:r>
    </w:p>
    <w:p w14:paraId="6138AB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2"/>
          <w:szCs w:val="22"/>
        </w:rPr>
        <w:t>（1）个人简历；</w:t>
      </w:r>
    </w:p>
    <w:p w14:paraId="7D1CA0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2"/>
          <w:szCs w:val="22"/>
        </w:rPr>
        <w:t>（2）博士研究生毕业证书和博士学位证书扫描件（应届毕业博士生提供学生证扫描件）；</w:t>
      </w:r>
    </w:p>
    <w:p w14:paraId="4188AE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2"/>
          <w:szCs w:val="22"/>
        </w:rPr>
        <w:t>（3）博士论文、两篇代表作的电子版（应届毕业博士生可仅提交博士论文提纲）；</w:t>
      </w:r>
    </w:p>
    <w:p w14:paraId="6CF372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2"/>
          <w:szCs w:val="22"/>
        </w:rPr>
        <w:t>（4）身份证扫描件；</w:t>
      </w:r>
    </w:p>
    <w:p w14:paraId="3654D0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2"/>
          <w:szCs w:val="22"/>
        </w:rPr>
        <w:t>（5）个人免冠证件照电子版。</w:t>
      </w:r>
    </w:p>
    <w:p w14:paraId="6E26CA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38FCE0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2"/>
          <w:szCs w:val="22"/>
        </w:rPr>
        <w:t>以上资料请以电子邮件方式发至招聘邮箱（postdoctor@ofcapital.com），主题栏注明"应聘博士后+研究方向+姓名"字样。</w:t>
      </w:r>
    </w:p>
    <w:p w14:paraId="0D0926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4B748C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sz w:val="22"/>
          <w:szCs w:val="22"/>
        </w:rPr>
        <w:t>2、本工作站采取“公开招收、择优录取”的原则，对报名材料分批次进行初审，初审合格者将获邀到深圳应试，往返差旅费用由本站承担，具体时间以通知为准。</w:t>
      </w:r>
    </w:p>
    <w:p w14:paraId="56116E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2"/>
          <w:szCs w:val="22"/>
        </w:rPr>
        <w:t>通讯地址：</w:t>
      </w:r>
      <w:r>
        <w:rPr>
          <w:color w:val="000000"/>
          <w:spacing w:val="30"/>
          <w:sz w:val="22"/>
          <w:szCs w:val="22"/>
        </w:rPr>
        <w:t>深圳市福田区沙头街道深铁置业大厦33-34楼</w:t>
      </w:r>
    </w:p>
    <w:p w14:paraId="1A1495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2"/>
          <w:szCs w:val="22"/>
        </w:rPr>
        <w:t>邮政编码：518000</w:t>
      </w:r>
    </w:p>
    <w:p w14:paraId="7E9490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2"/>
          <w:szCs w:val="22"/>
        </w:rPr>
        <w:t>联系人：吴经理</w:t>
      </w:r>
    </w:p>
    <w:p w14:paraId="769F9D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2"/>
          <w:szCs w:val="22"/>
        </w:rPr>
        <w:t>电话：0755-83473566</w:t>
      </w:r>
    </w:p>
    <w:p w14:paraId="1440C0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2"/>
          <w:szCs w:val="22"/>
        </w:rPr>
      </w:pPr>
    </w:p>
    <w:p w14:paraId="484178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2"/>
          <w:szCs w:val="22"/>
        </w:rPr>
        <w:t>欢迎有志从事创投行业的专业人才咨询、应聘，我们期待与您携手，共同谱写中国创投行业的新篇章！</w:t>
      </w:r>
    </w:p>
    <w:p w14:paraId="3F743B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398F20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pPr>
      <w:r>
        <w:rPr>
          <w:sz w:val="22"/>
          <w:szCs w:val="22"/>
        </w:rPr>
        <w:t>深圳市东方富海投资管理股份有限公司</w:t>
      </w:r>
    </w:p>
    <w:p w14:paraId="253629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pPr>
      <w:r>
        <w:rPr>
          <w:sz w:val="22"/>
          <w:szCs w:val="22"/>
        </w:rPr>
        <w:t>博士后科研工作站</w:t>
      </w:r>
    </w:p>
    <w:p w14:paraId="62E443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pPr>
      <w:r>
        <w:rPr>
          <w:sz w:val="22"/>
          <w:szCs w:val="22"/>
        </w:rPr>
        <w:t>2025年</w:t>
      </w:r>
      <w:r>
        <w:rPr>
          <w:rFonts w:hint="eastAsia"/>
          <w:sz w:val="22"/>
          <w:szCs w:val="22"/>
          <w:lang w:val="en-US" w:eastAsia="zh-CN"/>
        </w:rPr>
        <w:t>11</w:t>
      </w:r>
      <w:bookmarkStart w:id="0" w:name="_GoBack"/>
      <w:bookmarkEnd w:id="0"/>
      <w:r>
        <w:rPr>
          <w:sz w:val="22"/>
          <w:szCs w:val="22"/>
        </w:rPr>
        <w:t>月</w:t>
      </w:r>
    </w:p>
    <w:p w14:paraId="618D5E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pPr>
    </w:p>
    <w:p w14:paraId="396892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rPr>
        <w:t>关于我们</w:t>
      </w:r>
    </w:p>
    <w:p w14:paraId="0FBD50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pPr>
    </w:p>
    <w:p w14:paraId="1FB62D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2"/>
          <w:szCs w:val="22"/>
        </w:rPr>
        <w:t>深圳市东方富海投资管理股份有限公司成立于2006年10月10日，以“做中国最值得创业者和投资人信任的投资机构”为愿景，秉承“成就创业者，持续创造价值”的使命，推行“基金专业化，服务平台化”的战略，现已发展成为立足于深圳、辐射于全国的中国领先的创业投资机构。截至目前，公司管理基金规模约350亿元，投资项目超过650个，超过80家公司上市，多次荣获清科“中国投资机构20强” 、投中“中国最佳创业投资机构10强”、福布斯“中国最佳创投机构20强”等奖项。</w:t>
      </w:r>
    </w:p>
    <w:p w14:paraId="0A2DFB66"/>
    <w:p w14:paraId="468123B7">
      <w:pPr>
        <w:rPr>
          <w:rFonts w:ascii="宋体" w:hAnsi="宋体" w:cs="宋体"/>
          <w:b/>
          <w:szCs w:val="24"/>
        </w:rPr>
      </w:pPr>
      <w:r>
        <w:rPr>
          <w:rFonts w:hint="eastAsia" w:ascii="宋体" w:hAnsi="宋体" w:cs="宋体"/>
          <w:b/>
          <w:szCs w:val="24"/>
        </w:rPr>
        <w:t>*企业图片：</w:t>
      </w:r>
      <w:r>
        <w:rPr>
          <w:rFonts w:hint="eastAsia" w:ascii="宋体" w:hAnsi="宋体" w:cs="宋体"/>
          <w:bCs/>
          <w:szCs w:val="24"/>
        </w:rPr>
        <w:t>（2-3张，体现公司文化、环境）</w:t>
      </w:r>
    </w:p>
    <w:p w14:paraId="6343F407">
      <w:r>
        <w:drawing>
          <wp:inline distT="0" distB="0" distL="0" distR="0">
            <wp:extent cx="5274310" cy="6477000"/>
            <wp:effectExtent l="0" t="0" r="2540" b="0"/>
            <wp:docPr id="789778967" name="Picture 1" descr="A room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78967" name="Picture 1" descr="A room with tables and chairs&#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6477000"/>
                    </a:xfrm>
                    <a:prstGeom prst="rect">
                      <a:avLst/>
                    </a:prstGeom>
                    <a:noFill/>
                    <a:ln>
                      <a:noFill/>
                    </a:ln>
                  </pic:spPr>
                </pic:pic>
              </a:graphicData>
            </a:graphic>
          </wp:inline>
        </w:drawing>
      </w:r>
    </w:p>
    <w:p w14:paraId="13C53E66">
      <w:r>
        <w:drawing>
          <wp:inline distT="0" distB="0" distL="0" distR="0">
            <wp:extent cx="5274310" cy="3967480"/>
            <wp:effectExtent l="0" t="0" r="2540" b="13970"/>
            <wp:docPr id="596162905" name="Picture 2" descr="A staircase with books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62905" name="Picture 2" descr="A staircase with books on the wall&#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3967480"/>
                    </a:xfrm>
                    <a:prstGeom prst="rect">
                      <a:avLst/>
                    </a:prstGeom>
                    <a:noFill/>
                    <a:ln>
                      <a:noFill/>
                    </a:ln>
                  </pic:spPr>
                </pic:pic>
              </a:graphicData>
            </a:graphic>
          </wp:inline>
        </w:drawing>
      </w:r>
    </w:p>
    <w:p w14:paraId="3427F8B0">
      <w:r>
        <w:drawing>
          <wp:inline distT="0" distB="0" distL="0" distR="0">
            <wp:extent cx="5274310" cy="2494915"/>
            <wp:effectExtent l="0" t="0" r="2540" b="635"/>
            <wp:docPr id="621155353" name="Picture 3" descr="A room with a large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155353" name="Picture 3" descr="A room with a large table and chair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2494915"/>
                    </a:xfrm>
                    <a:prstGeom prst="rect">
                      <a:avLst/>
                    </a:prstGeom>
                    <a:noFill/>
                    <a:ln>
                      <a:noFill/>
                    </a:ln>
                  </pic:spPr>
                </pic:pic>
              </a:graphicData>
            </a:graphic>
          </wp:inline>
        </w:drawing>
      </w:r>
    </w:p>
    <w:p w14:paraId="6E13CAD0"/>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9"/>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1A857D6"/>
    <w:rsid w:val="51A857D6"/>
    <w:rsid w:val="57240A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Calibri" w:hAnsi="Calibri" w:eastAsia="宋体" w:cs="Calibri"/>
      <w:kern w:val="2"/>
      <w:sz w:val="24"/>
      <w:szCs w:val="21"/>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1376</Words>
  <Characters>1453</Characters>
  <Lines>0</Lines>
  <Paragraphs>0</Paragraphs>
  <TotalTime>13</TotalTime>
  <ScaleCrop>false</ScaleCrop>
  <LinksUpToDate>false</LinksUpToDate>
  <CharactersWithSpaces>1454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2025-08-27T04:50:00Z</dcterms:created>
  <dc:creator>xuyi</dc:creator>
  <cp:lastModifiedBy>xuyi</cp:lastModifiedBy>
  <dcterms:modified xsi:type="dcterms:W3CDTF">2025-11-04T03:24:51Z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957CB9FAED55489BB297E166309B06B7_11</vt:lpwstr>
  </property>
  <property fmtid="{D5CDD505-2E9C-101B-9397-08002B2CF9AE}" pid="4" name="KSOTemplateDocerSaveRecord">
    <vt:lpwstr>eyJoZGlkIjoiNDA0MjcwN2IyOTRlODgzMGRhM2ExYzc0MWUzMjNlY2MiLCJ1c2VySWQiOiIyNjIyNTg2NzIifQ==</vt:lpwstr>
  </property>
</Properties>
</file>